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32"/>
          <w:szCs w:val="32"/>
        </w:rPr>
      </w:pPr>
      <w:r w:rsidDel="00000000" w:rsidR="00000000" w:rsidRPr="00000000">
        <w:rPr>
          <w:b w:val="1"/>
          <w:bCs w:val="1"/>
          <w:sz w:val="32"/>
          <w:szCs w:val="32"/>
          <w:rtl w:val="0"/>
        </w:rPr>
        <w:t xml:space="preserve">Gemeente De Ronde Venen</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tbl>
      <w:tblPr>
        <w:tblStyle w:val="Table1"/>
        <w:tblW w:w="9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792"/>
        <w:gridCol w:w="1842"/>
        <w:tblGridChange w:id="0">
          <w:tblGrid>
            <w:gridCol w:w="7792"/>
            <w:gridCol w:w="1842"/>
          </w:tblGrid>
        </w:tblGridChange>
      </w:tblGrid>
      <w:tr>
        <w:trPr>
          <w:cantSplit w:val="0"/>
          <w:tblHeader w:val="0"/>
        </w:trPr>
        <w:tc>
          <w:tcPr/>
          <w:p w:rsidR="00000000" w:rsidDel="00000000" w:rsidP="00000000" w:rsidRDefault="00000000" w:rsidRPr="00000000" w14:paraId="00000004">
            <w:pPr>
              <w:rPr>
                <w:b w:val="1"/>
                <w:bCs w:val="1"/>
                <w:sz w:val="24"/>
                <w:szCs w:val="24"/>
              </w:rPr>
            </w:pPr>
            <w:r w:rsidDel="00000000" w:rsidR="00000000" w:rsidRPr="00000000">
              <w:rPr>
                <w:b w:val="1"/>
                <w:bCs w:val="1"/>
                <w:sz w:val="24"/>
                <w:szCs w:val="24"/>
                <w:rtl w:val="0"/>
              </w:rPr>
              <w:t xml:space="preserve">Vragen vanuit de Raad aan het college:</w:t>
              <w:br w:type="textWrapping"/>
            </w:r>
          </w:p>
          <w:p w:rsidR="00000000" w:rsidDel="00000000" w:rsidP="00000000" w:rsidRDefault="00000000" w:rsidRPr="00000000" w14:paraId="0000000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Schriftelijke vragen als bedoeld in artikel 39 Reglement van Orde (beantwoording binnen 30 dagen)</w:t>
            </w:r>
            <w:r w:rsidDel="00000000" w:rsidR="00000000" w:rsidRPr="00000000">
              <w:rPr>
                <w:rtl w:val="0"/>
              </w:rPr>
            </w:r>
          </w:p>
          <w:p w:rsidR="00000000" w:rsidDel="00000000" w:rsidP="00000000" w:rsidRDefault="00000000" w:rsidRPr="00000000" w14:paraId="0000000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Technische vragen vergadering (beantwoording zo snel mogelijk)</w:t>
            </w:r>
            <w:r w:rsidDel="00000000" w:rsidR="00000000" w:rsidRPr="00000000">
              <w:rPr>
                <w:rtl w:val="0"/>
              </w:rPr>
            </w:r>
          </w:p>
          <w:p w:rsidR="00000000" w:rsidDel="00000000" w:rsidP="00000000" w:rsidRDefault="00000000" w:rsidRPr="00000000" w14:paraId="0000000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Technische vragen overig</w:t>
            </w:r>
            <w:r w:rsidDel="00000000" w:rsidR="00000000" w:rsidRPr="00000000">
              <w:rPr>
                <w:rtl w:val="0"/>
              </w:rPr>
            </w:r>
          </w:p>
        </w:tc>
        <w:tc>
          <w:tcPr/>
          <w:p w:rsidR="00000000" w:rsidDel="00000000" w:rsidP="00000000" w:rsidRDefault="00000000" w:rsidRPr="00000000" w14:paraId="00000008">
            <w:pPr>
              <w:rPr>
                <w:b w:val="1"/>
                <w:bCs w:val="1"/>
              </w:rPr>
            </w:pPr>
            <w:r w:rsidDel="00000000" w:rsidR="00000000" w:rsidRPr="00000000">
              <w:rPr>
                <w:b w:val="1"/>
                <w:bCs w:val="1"/>
                <w:rtl w:val="0"/>
              </w:rPr>
              <w:t xml:space="preserve">Categorie:</w:t>
            </w:r>
          </w:p>
          <w:p w:rsidR="00000000" w:rsidDel="00000000" w:rsidP="00000000" w:rsidRDefault="00000000" w:rsidRPr="00000000" w14:paraId="00000009">
            <w:pPr>
              <w:rPr>
                <w:b w:val="1"/>
                <w:bCs w:val="1"/>
                <w:sz w:val="40"/>
                <w:szCs w:val="40"/>
              </w:rPr>
            </w:pPr>
            <w:r w:rsidDel="00000000" w:rsidR="00000000" w:rsidRPr="00000000">
              <w:rPr>
                <w:b w:val="1"/>
                <w:bCs w:val="1"/>
                <w:sz w:val="40"/>
                <w:szCs w:val="40"/>
                <w:rtl w:val="0"/>
              </w:rPr>
              <w:t xml:space="preserve">A </w:t>
            </w:r>
          </w:p>
          <w:p w:rsidR="00000000" w:rsidDel="00000000" w:rsidP="00000000" w:rsidRDefault="00000000" w:rsidRPr="00000000" w14:paraId="0000000A">
            <w:pPr>
              <w:rPr>
                <w:sz w:val="16"/>
                <w:szCs w:val="16"/>
              </w:rPr>
            </w:pPr>
            <w:r w:rsidDel="00000000" w:rsidR="00000000" w:rsidRPr="00000000">
              <w:rPr>
                <w:rtl w:val="0"/>
              </w:rPr>
            </w:r>
          </w:p>
          <w:p w:rsidR="00000000" w:rsidDel="00000000" w:rsidP="00000000" w:rsidRDefault="00000000" w:rsidRPr="00000000" w14:paraId="0000000B">
            <w:pPr>
              <w:rPr>
                <w:sz w:val="20"/>
                <w:szCs w:val="20"/>
                <w:u w:val="single"/>
              </w:rPr>
            </w:pPr>
            <w:r w:rsidDel="00000000" w:rsidR="00000000" w:rsidRPr="00000000">
              <w:rPr>
                <w:sz w:val="20"/>
                <w:szCs w:val="20"/>
                <w:u w:val="single"/>
                <w:rtl w:val="0"/>
              </w:rPr>
              <w:t xml:space="preserve">(Doorhalen wat niet van toepassing is)</w:t>
            </w:r>
          </w:p>
          <w:p w:rsidR="00000000" w:rsidDel="00000000" w:rsidP="00000000" w:rsidRDefault="00000000" w:rsidRPr="00000000" w14:paraId="0000000C">
            <w:pPr>
              <w:rPr/>
            </w:pPr>
            <w:r w:rsidDel="00000000" w:rsidR="00000000" w:rsidRPr="00000000">
              <w:rPr>
                <w:rtl w:val="0"/>
              </w:rPr>
            </w:r>
          </w:p>
        </w:tc>
      </w:tr>
    </w:tbl>
    <w:p w:rsidR="00000000" w:rsidDel="00000000" w:rsidP="00000000" w:rsidRDefault="00000000" w:rsidRPr="00000000" w14:paraId="0000000D">
      <w:pPr>
        <w:rPr/>
      </w:pPr>
      <w:r w:rsidDel="00000000" w:rsidR="00000000" w:rsidRPr="00000000">
        <w:rPr>
          <w:rtl w:val="0"/>
        </w:rPr>
      </w:r>
    </w:p>
    <w:tbl>
      <w:tblPr>
        <w:tblStyle w:val="Table2"/>
        <w:tblW w:w="9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34"/>
        <w:tblGridChange w:id="0">
          <w:tblGrid>
            <w:gridCol w:w="9634"/>
          </w:tblGrid>
        </w:tblGridChange>
      </w:tblGrid>
      <w:tr>
        <w:trPr>
          <w:cantSplit w:val="0"/>
          <w:tblHeader w:val="0"/>
        </w:trPr>
        <w:tc>
          <w:tcPr/>
          <w:p w:rsidR="00000000" w:rsidDel="00000000" w:rsidP="00000000" w:rsidRDefault="00000000" w:rsidRPr="00000000" w14:paraId="0000000E">
            <w:pPr>
              <w:rPr>
                <w:b w:val="1"/>
                <w:bCs w:val="1"/>
              </w:rPr>
            </w:pPr>
            <w:r w:rsidDel="00000000" w:rsidR="00000000" w:rsidRPr="00000000">
              <w:rPr>
                <w:b w:val="1"/>
                <w:bCs w:val="1"/>
              </w:rPr>
              <w:drawing>
                <wp:inline distB="114300" distT="114300" distL="114300" distR="114300">
                  <wp:extent cx="581343" cy="581343"/>
                  <wp:effectExtent b="0" l="0" r="0" t="0"/>
                  <wp:docPr id="2"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581343" cy="581343"/>
                          </a:xfrm>
                          <a:prstGeom prst="rect"/>
                          <a:ln/>
                        </pic:spPr>
                      </pic:pic>
                    </a:graphicData>
                  </a:graphic>
                </wp:inline>
              </w:drawing>
            </w:r>
            <w:r w:rsidDel="00000000" w:rsidR="00000000" w:rsidRPr="00000000">
              <w:rPr>
                <w:rtl w:val="0"/>
              </w:rPr>
            </w:r>
          </w:p>
          <w:p w:rsidR="00000000" w:rsidDel="00000000" w:rsidP="00000000" w:rsidRDefault="00000000" w:rsidRPr="00000000" w14:paraId="0000000F">
            <w:pPr>
              <w:rPr>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10">
            <w:pPr>
              <w:rPr>
                <w:b w:val="1"/>
                <w:bCs w:val="1"/>
              </w:rPr>
            </w:pPr>
            <w:r w:rsidDel="00000000" w:rsidR="00000000" w:rsidRPr="00000000">
              <w:rPr>
                <w:b w:val="1"/>
                <w:bCs w:val="1"/>
                <w:rtl w:val="0"/>
              </w:rPr>
              <w:t xml:space="preserve">Naam indiener:  Simone Borgtede </w:t>
            </w:r>
          </w:p>
        </w:tc>
      </w:tr>
      <w:tr>
        <w:trPr>
          <w:cantSplit w:val="0"/>
          <w:tblHeader w:val="0"/>
        </w:trPr>
        <w:tc>
          <w:tcPr/>
          <w:p w:rsidR="00000000" w:rsidDel="00000000" w:rsidP="00000000" w:rsidRDefault="00000000" w:rsidRPr="00000000" w14:paraId="00000011">
            <w:pPr>
              <w:rPr>
                <w:b w:val="1"/>
                <w:bCs w:val="1"/>
              </w:rPr>
            </w:pPr>
            <w:r w:rsidDel="00000000" w:rsidR="00000000" w:rsidRPr="00000000">
              <w:rPr>
                <w:b w:val="1"/>
                <w:bCs w:val="1"/>
                <w:rtl w:val="0"/>
              </w:rPr>
              <w:t xml:space="preserve">Fractie: Lokaal en Fair De Ronde Venen</w:t>
            </w:r>
          </w:p>
        </w:tc>
      </w:tr>
      <w:tr>
        <w:trPr>
          <w:cantSplit w:val="0"/>
          <w:trHeight w:val="135" w:hRule="atLeast"/>
          <w:tblHeader w:val="0"/>
        </w:trPr>
        <w:tc>
          <w:tcPr/>
          <w:p w:rsidR="00000000" w:rsidDel="00000000" w:rsidP="00000000" w:rsidRDefault="00000000" w:rsidRPr="00000000" w14:paraId="00000012">
            <w:pPr>
              <w:rPr>
                <w:b w:val="1"/>
                <w:bCs w:val="1"/>
              </w:rPr>
            </w:pPr>
            <w:r w:rsidDel="00000000" w:rsidR="00000000" w:rsidRPr="00000000">
              <w:rPr>
                <w:b w:val="1"/>
                <w:bCs w:val="1"/>
                <w:rtl w:val="0"/>
              </w:rPr>
              <w:t xml:space="preserve">Datum van indienen:  14 april 2026</w:t>
            </w:r>
          </w:p>
        </w:tc>
      </w:tr>
      <w:tr>
        <w:trPr>
          <w:cantSplit w:val="0"/>
          <w:tblHeader w:val="0"/>
        </w:trPr>
        <w:tc>
          <w:tcPr/>
          <w:p w:rsidR="00000000" w:rsidDel="00000000" w:rsidP="00000000" w:rsidRDefault="00000000" w:rsidRPr="00000000" w14:paraId="00000013">
            <w:pPr>
              <w:rPr>
                <w:b w:val="1"/>
                <w:bCs w:val="1"/>
              </w:rPr>
            </w:pPr>
            <w:r w:rsidDel="00000000" w:rsidR="00000000" w:rsidRPr="00000000">
              <w:rPr>
                <w:b w:val="1"/>
                <w:bCs w:val="1"/>
                <w:rtl w:val="0"/>
              </w:rPr>
              <w:t xml:space="preserve">Onderwerp: </w:t>
            </w:r>
          </w:p>
          <w:p w:rsidR="00000000" w:rsidDel="00000000" w:rsidP="00000000" w:rsidRDefault="00000000" w:rsidRPr="00000000" w14:paraId="00000014">
            <w:pPr>
              <w:rPr>
                <w:b w:val="1"/>
                <w:bCs w:val="1"/>
              </w:rPr>
            </w:pPr>
            <w:r w:rsidDel="00000000" w:rsidR="00000000" w:rsidRPr="00000000">
              <w:rPr>
                <w:b w:val="1"/>
                <w:bCs w:val="1"/>
                <w:rtl w:val="0"/>
              </w:rPr>
              <w:t xml:space="preserve">Gunning Bouwproject Argon Locatie aan Jansen en de Jong Bouw </w:t>
            </w:r>
          </w:p>
        </w:tc>
      </w:tr>
    </w:tbl>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tbl>
      <w:tblPr>
        <w:tblStyle w:val="Table3"/>
        <w:tblW w:w="9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34"/>
        <w:tblGridChange w:id="0">
          <w:tblGrid>
            <w:gridCol w:w="9634"/>
          </w:tblGrid>
        </w:tblGridChange>
      </w:tblGrid>
      <w:tr>
        <w:trPr>
          <w:cantSplit w:val="0"/>
          <w:tblHeader w:val="0"/>
        </w:trPr>
        <w:tc>
          <w:tcPr/>
          <w:p w:rsidR="00000000" w:rsidDel="00000000" w:rsidP="00000000" w:rsidRDefault="00000000" w:rsidRPr="00000000" w14:paraId="00000017">
            <w:pPr>
              <w:rPr>
                <w:b w:val="1"/>
                <w:bCs w:val="1"/>
              </w:rPr>
            </w:pPr>
            <w:r w:rsidDel="00000000" w:rsidR="00000000" w:rsidRPr="00000000">
              <w:rPr>
                <w:b w:val="1"/>
                <w:bCs w:val="1"/>
                <w:color w:val="000000"/>
                <w:rtl w:val="0"/>
              </w:rPr>
              <w:t xml:space="preserve">In te vullen door organisatie</w:t>
            </w:r>
            <w:r w:rsidDel="00000000" w:rsidR="00000000" w:rsidRPr="00000000">
              <w:rPr>
                <w:rtl w:val="0"/>
              </w:rPr>
            </w:r>
          </w:p>
        </w:tc>
      </w:tr>
      <w:tr>
        <w:trPr>
          <w:cantSplit w:val="0"/>
          <w:tblHeader w:val="0"/>
        </w:trPr>
        <w:tc>
          <w:tcPr/>
          <w:p w:rsidR="00000000" w:rsidDel="00000000" w:rsidP="00000000" w:rsidRDefault="00000000" w:rsidRPr="00000000" w14:paraId="00000018">
            <w:pPr>
              <w:rPr>
                <w:b w:val="1"/>
                <w:bCs w:val="1"/>
              </w:rPr>
            </w:pPr>
            <w:r w:rsidDel="00000000" w:rsidR="00000000" w:rsidRPr="00000000">
              <w:rPr>
                <w:b w:val="1"/>
                <w:bCs w:val="1"/>
                <w:rtl w:val="0"/>
              </w:rPr>
              <w:t xml:space="preserve">Behandelend ambtenaar:</w:t>
            </w:r>
          </w:p>
        </w:tc>
      </w:tr>
      <w:tr>
        <w:trPr>
          <w:cantSplit w:val="0"/>
          <w:tblHeader w:val="0"/>
        </w:trPr>
        <w:tc>
          <w:tcPr/>
          <w:p w:rsidR="00000000" w:rsidDel="00000000" w:rsidP="00000000" w:rsidRDefault="00000000" w:rsidRPr="00000000" w14:paraId="00000019">
            <w:pPr>
              <w:rPr>
                <w:b w:val="1"/>
                <w:bCs w:val="1"/>
              </w:rPr>
            </w:pPr>
            <w:r w:rsidDel="00000000" w:rsidR="00000000" w:rsidRPr="00000000">
              <w:rPr>
                <w:b w:val="1"/>
                <w:bCs w:val="1"/>
                <w:rtl w:val="0"/>
              </w:rPr>
              <w:t xml:space="preserve">Datum beantwoording: </w:t>
            </w:r>
          </w:p>
        </w:tc>
      </w:tr>
      <w:tr>
        <w:trPr>
          <w:cantSplit w:val="0"/>
          <w:tblHeader w:val="0"/>
        </w:trPr>
        <w:tc>
          <w:tcPr/>
          <w:p w:rsidR="00000000" w:rsidDel="00000000" w:rsidP="00000000" w:rsidRDefault="00000000" w:rsidRPr="00000000" w14:paraId="0000001A">
            <w:pPr>
              <w:rPr>
                <w:b w:val="1"/>
                <w:bCs w:val="1"/>
              </w:rPr>
            </w:pPr>
            <w:r w:rsidDel="00000000" w:rsidR="00000000" w:rsidRPr="00000000">
              <w:rPr>
                <w:b w:val="1"/>
                <w:bCs w:val="1"/>
                <w:color w:val="000000"/>
                <w:rtl w:val="0"/>
              </w:rPr>
              <w:t xml:space="preserve">Volgnummer:</w:t>
            </w:r>
            <w:r w:rsidDel="00000000" w:rsidR="00000000" w:rsidRPr="00000000">
              <w:rPr>
                <w:rtl w:val="0"/>
              </w:rPr>
            </w:r>
          </w:p>
        </w:tc>
      </w:tr>
    </w:tbl>
    <w:p w:rsidR="00000000" w:rsidDel="00000000" w:rsidP="00000000" w:rsidRDefault="00000000" w:rsidRPr="00000000" w14:paraId="0000001B">
      <w:pPr>
        <w:rPr/>
      </w:pPr>
      <w:r w:rsidDel="00000000" w:rsidR="00000000" w:rsidRPr="00000000">
        <w:rPr>
          <w:rtl w:val="0"/>
        </w:rPr>
      </w:r>
    </w:p>
    <w:tbl>
      <w:tblPr>
        <w:tblStyle w:val="Table4"/>
        <w:tblW w:w="9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34"/>
        <w:tblGridChange w:id="0">
          <w:tblGrid>
            <w:gridCol w:w="9634"/>
          </w:tblGrid>
        </w:tblGridChange>
      </w:tblGrid>
      <w:tr>
        <w:trPr>
          <w:cantSplit w:val="0"/>
          <w:tblHeader w:val="0"/>
        </w:trPr>
        <w:tc>
          <w:tcPr/>
          <w:p w:rsidR="00000000" w:rsidDel="00000000" w:rsidP="00000000" w:rsidRDefault="00000000" w:rsidRPr="00000000" w14:paraId="0000001C">
            <w:pPr>
              <w:spacing w:after="240" w:before="240" w:lineRule="auto"/>
              <w:rPr/>
            </w:pPr>
            <w:r w:rsidDel="00000000" w:rsidR="00000000" w:rsidRPr="00000000">
              <w:rPr>
                <w:b w:val="1"/>
                <w:bCs w:val="1"/>
                <w:rtl w:val="0"/>
              </w:rPr>
              <w:t xml:space="preserve">Vragen van Lokaal en Fair aan het college van De Ronde Venen over de gunning van het woningbouwproject Argon aan Jansen en de Jong Bouw.</w:t>
            </w:r>
            <w:r w:rsidDel="00000000" w:rsidR="00000000" w:rsidRPr="00000000">
              <w:rPr>
                <w:rtl w:val="0"/>
              </w:rPr>
            </w:r>
          </w:p>
          <w:p w:rsidR="00000000" w:rsidDel="00000000" w:rsidP="00000000" w:rsidRDefault="00000000" w:rsidRPr="00000000" w14:paraId="0000001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E">
            <w:pPr>
              <w:spacing w:after="240" w:before="240" w:lineRule="auto"/>
              <w:rPr>
                <w:b w:val="1"/>
                <w:bCs w:val="1"/>
              </w:rPr>
            </w:pPr>
            <w:r w:rsidDel="00000000" w:rsidR="00000000" w:rsidRPr="00000000">
              <w:rPr>
                <w:rtl w:val="0"/>
              </w:rPr>
            </w:r>
          </w:p>
          <w:p w:rsidR="00000000" w:rsidDel="00000000" w:rsidP="00000000" w:rsidRDefault="00000000" w:rsidRPr="00000000" w14:paraId="0000001F">
            <w:pPr>
              <w:numPr>
                <w:ilvl w:val="0"/>
                <w:numId w:val="2"/>
              </w:numPr>
              <w:spacing w:after="0" w:afterAutospacing="0" w:before="240" w:lineRule="auto"/>
              <w:ind w:left="720" w:hanging="360"/>
            </w:pPr>
            <w:r w:rsidDel="00000000" w:rsidR="00000000" w:rsidRPr="00000000">
              <w:rPr>
                <w:b w:val="1"/>
                <w:bCs w:val="1"/>
                <w:rtl w:val="0"/>
              </w:rPr>
              <w:t xml:space="preserve">Afbakening van het aanbestedingsproces</w:t>
              <w:br w:type="textWrapping"/>
            </w:r>
          </w:p>
          <w:p w:rsidR="00000000" w:rsidDel="00000000" w:rsidP="00000000" w:rsidRDefault="00000000" w:rsidRPr="00000000" w14:paraId="00000020">
            <w:pPr>
              <w:numPr>
                <w:ilvl w:val="1"/>
                <w:numId w:val="2"/>
              </w:numPr>
              <w:spacing w:after="0" w:afterAutospacing="0" w:before="0" w:beforeAutospacing="0" w:lineRule="auto"/>
              <w:ind w:left="1440" w:hanging="360"/>
            </w:pPr>
            <w:r w:rsidDel="00000000" w:rsidR="00000000" w:rsidRPr="00000000">
              <w:rPr>
                <w:rtl w:val="0"/>
              </w:rPr>
              <w:t xml:space="preserve">Op welke wijze is het aanbestedingsproces voor het woningbouwproject Argon vormgegeven? Zijn hierbij specifieke criteria opgesteld omtrent kwaliteit, betrouwbaarheid en eerdere ervaringen met bouwers?</w:t>
              <w:br w:type="textWrapping"/>
            </w:r>
          </w:p>
          <w:p w:rsidR="00000000" w:rsidDel="00000000" w:rsidP="00000000" w:rsidRDefault="00000000" w:rsidRPr="00000000" w14:paraId="00000021">
            <w:pPr>
              <w:numPr>
                <w:ilvl w:val="0"/>
                <w:numId w:val="2"/>
              </w:numPr>
              <w:spacing w:after="0" w:afterAutospacing="0" w:before="0" w:beforeAutospacing="0" w:lineRule="auto"/>
              <w:ind w:left="720" w:hanging="360"/>
            </w:pPr>
            <w:r w:rsidDel="00000000" w:rsidR="00000000" w:rsidRPr="00000000">
              <w:rPr>
                <w:b w:val="1"/>
                <w:bCs w:val="1"/>
                <w:rtl w:val="0"/>
              </w:rPr>
              <w:t xml:space="preserve">Overwegingen bij de keuze voor Jansen en de Jong Bouw</w:t>
              <w:br w:type="textWrapping"/>
            </w:r>
          </w:p>
          <w:p w:rsidR="00000000" w:rsidDel="00000000" w:rsidP="00000000" w:rsidRDefault="00000000" w:rsidRPr="00000000" w14:paraId="00000022">
            <w:pPr>
              <w:numPr>
                <w:ilvl w:val="1"/>
                <w:numId w:val="2"/>
              </w:numPr>
              <w:spacing w:after="240" w:before="0" w:beforeAutospacing="0" w:lineRule="auto"/>
              <w:ind w:left="1440" w:hanging="360"/>
            </w:pPr>
            <w:r w:rsidDel="00000000" w:rsidR="00000000" w:rsidRPr="00000000">
              <w:rPr>
                <w:rtl w:val="0"/>
              </w:rPr>
              <w:t xml:space="preserve">Welke concrete afwegingen hebben geleid tot de gunning aan Jansen en de Jong Bouw? Zijn er specifieke redenen waarom deze partij, ondanks eerdere problemen, alsnog is geselecteerd?</w:t>
            </w:r>
          </w:p>
          <w:p w:rsidR="00000000" w:rsidDel="00000000" w:rsidP="00000000" w:rsidRDefault="00000000" w:rsidRPr="00000000" w14:paraId="00000023">
            <w:pPr>
              <w:spacing w:after="240" w:before="240" w:lineRule="auto"/>
              <w:ind w:left="1440" w:firstLine="0"/>
              <w:rPr/>
            </w:pPr>
            <w:r w:rsidDel="00000000" w:rsidR="00000000" w:rsidRPr="00000000">
              <w:rPr>
                <w:rtl w:val="0"/>
              </w:rPr>
            </w:r>
          </w:p>
          <w:p w:rsidR="00000000" w:rsidDel="00000000" w:rsidP="00000000" w:rsidRDefault="00000000" w:rsidRPr="00000000" w14:paraId="00000024">
            <w:pPr>
              <w:spacing w:after="240" w:before="240" w:lineRule="auto"/>
              <w:ind w:left="0" w:firstLine="0"/>
              <w:rPr/>
            </w:pPr>
            <w:r w:rsidDel="00000000" w:rsidR="00000000" w:rsidRPr="00000000">
              <w:rPr>
                <w:rtl w:val="0"/>
              </w:rPr>
              <w:br w:type="textWrapping"/>
            </w:r>
          </w:p>
          <w:p w:rsidR="00000000" w:rsidDel="00000000" w:rsidP="00000000" w:rsidRDefault="00000000" w:rsidRPr="00000000" w14:paraId="00000025">
            <w:pPr>
              <w:numPr>
                <w:ilvl w:val="0"/>
                <w:numId w:val="2"/>
              </w:numPr>
              <w:spacing w:after="0" w:afterAutospacing="0" w:before="240" w:lineRule="auto"/>
              <w:ind w:left="720" w:hanging="360"/>
            </w:pPr>
            <w:r w:rsidDel="00000000" w:rsidR="00000000" w:rsidRPr="00000000">
              <w:rPr>
                <w:b w:val="1"/>
                <w:bCs w:val="1"/>
                <w:rtl w:val="0"/>
              </w:rPr>
              <w:t xml:space="preserve">Betrokkenheid van eerdere ervaringen</w:t>
              <w:br w:type="textWrapping"/>
            </w:r>
          </w:p>
          <w:p w:rsidR="00000000" w:rsidDel="00000000" w:rsidP="00000000" w:rsidRDefault="00000000" w:rsidRPr="00000000" w14:paraId="00000026">
            <w:pPr>
              <w:numPr>
                <w:ilvl w:val="1"/>
                <w:numId w:val="2"/>
              </w:numPr>
              <w:spacing w:after="0" w:afterAutospacing="0" w:before="0" w:beforeAutospacing="0" w:lineRule="auto"/>
              <w:ind w:left="1440" w:hanging="360"/>
            </w:pPr>
            <w:r w:rsidDel="00000000" w:rsidR="00000000" w:rsidRPr="00000000">
              <w:rPr>
                <w:rtl w:val="0"/>
              </w:rPr>
              <w:t xml:space="preserve">Hoe zijn de eerdere ervaringen met Jansen en de Jong Bouw, zoals de problemen in Vinkeveld (Vinkeveen) en Land van Winkel (Abcoude), meegewogen in het besluitvormingsproces? Zijn deze ervaringen expliciet besproken en beoordeeld?</w:t>
              <w:br w:type="textWrapping"/>
            </w:r>
          </w:p>
          <w:p w:rsidR="00000000" w:rsidDel="00000000" w:rsidP="00000000" w:rsidRDefault="00000000" w:rsidRPr="00000000" w14:paraId="00000027">
            <w:pPr>
              <w:numPr>
                <w:ilvl w:val="0"/>
                <w:numId w:val="2"/>
              </w:numPr>
              <w:spacing w:after="0" w:afterAutospacing="0" w:before="0" w:beforeAutospacing="0" w:lineRule="auto"/>
              <w:ind w:left="720" w:hanging="360"/>
            </w:pPr>
            <w:r w:rsidDel="00000000" w:rsidR="00000000" w:rsidRPr="00000000">
              <w:rPr>
                <w:b w:val="1"/>
                <w:bCs w:val="1"/>
                <w:rtl w:val="0"/>
              </w:rPr>
              <w:t xml:space="preserve">Naleving van eerdere uitspraken in de raad</w:t>
              <w:br w:type="textWrapping"/>
            </w:r>
          </w:p>
          <w:p w:rsidR="00000000" w:rsidDel="00000000" w:rsidP="00000000" w:rsidRDefault="00000000" w:rsidRPr="00000000" w14:paraId="00000028">
            <w:pPr>
              <w:numPr>
                <w:ilvl w:val="1"/>
                <w:numId w:val="2"/>
              </w:numPr>
              <w:spacing w:after="0" w:afterAutospacing="0" w:before="0" w:beforeAutospacing="0" w:lineRule="auto"/>
              <w:ind w:left="1440" w:hanging="360"/>
            </w:pPr>
            <w:r w:rsidDel="00000000" w:rsidR="00000000" w:rsidRPr="00000000">
              <w:rPr>
                <w:rtl w:val="0"/>
              </w:rPr>
              <w:t xml:space="preserve">De gemeenteraad heeft eerder aangegeven dat Jansen en de Jong Bouw in principe geen nieuwe projecten meer gegund zouden worden. Hoe verhoudt deze gunning zich tot die uitspraak? Is er sprake van een heroverweging, en zo ja, waarom?</w:t>
              <w:br w:type="textWrapping"/>
            </w:r>
          </w:p>
          <w:p w:rsidR="00000000" w:rsidDel="00000000" w:rsidP="00000000" w:rsidRDefault="00000000" w:rsidRPr="00000000" w14:paraId="00000029">
            <w:pPr>
              <w:numPr>
                <w:ilvl w:val="0"/>
                <w:numId w:val="2"/>
              </w:numPr>
              <w:spacing w:after="0" w:afterAutospacing="0" w:before="0" w:beforeAutospacing="0" w:lineRule="auto"/>
              <w:ind w:left="720" w:hanging="360"/>
            </w:pPr>
            <w:r w:rsidDel="00000000" w:rsidR="00000000" w:rsidRPr="00000000">
              <w:rPr>
                <w:b w:val="1"/>
                <w:bCs w:val="1"/>
                <w:rtl w:val="0"/>
              </w:rPr>
              <w:t xml:space="preserve">Borging van kwaliteit en betrouwbaarheid</w:t>
              <w:br w:type="textWrapping"/>
            </w:r>
          </w:p>
          <w:p w:rsidR="00000000" w:rsidDel="00000000" w:rsidP="00000000" w:rsidRDefault="00000000" w:rsidRPr="00000000" w14:paraId="0000002A">
            <w:pPr>
              <w:numPr>
                <w:ilvl w:val="1"/>
                <w:numId w:val="2"/>
              </w:numPr>
              <w:spacing w:after="0" w:afterAutospacing="0" w:before="0" w:beforeAutospacing="0" w:lineRule="auto"/>
              <w:ind w:left="1440" w:hanging="360"/>
            </w:pPr>
            <w:r w:rsidDel="00000000" w:rsidR="00000000" w:rsidRPr="00000000">
              <w:rPr>
                <w:rtl w:val="0"/>
              </w:rPr>
              <w:t xml:space="preserve">Welke maatregelen zijn genomen om ervoor te zorgen dat de kwaliteit en betrouwbaarheid van het woningbouwproject Argon gewaarborgd zijn? Zijn er aanvullende voorwaarden of controles afgesproken met Jansen en de Jong Bouw?</w:t>
              <w:br w:type="textWrapping"/>
            </w:r>
          </w:p>
          <w:p w:rsidR="00000000" w:rsidDel="00000000" w:rsidP="00000000" w:rsidRDefault="00000000" w:rsidRPr="00000000" w14:paraId="0000002B">
            <w:pPr>
              <w:numPr>
                <w:ilvl w:val="0"/>
                <w:numId w:val="2"/>
              </w:numPr>
              <w:spacing w:after="0" w:afterAutospacing="0" w:before="0" w:beforeAutospacing="0" w:lineRule="auto"/>
              <w:ind w:left="720" w:hanging="360"/>
            </w:pPr>
            <w:r w:rsidDel="00000000" w:rsidR="00000000" w:rsidRPr="00000000">
              <w:rPr>
                <w:b w:val="1"/>
                <w:bCs w:val="1"/>
                <w:rtl w:val="0"/>
              </w:rPr>
              <w:t xml:space="preserve">Garanties voor toekomstige bewoners</w:t>
              <w:br w:type="textWrapping"/>
            </w:r>
          </w:p>
          <w:p w:rsidR="00000000" w:rsidDel="00000000" w:rsidP="00000000" w:rsidRDefault="00000000" w:rsidRPr="00000000" w14:paraId="0000002C">
            <w:pPr>
              <w:numPr>
                <w:ilvl w:val="1"/>
                <w:numId w:val="2"/>
              </w:numPr>
              <w:spacing w:after="0" w:afterAutospacing="0" w:before="0" w:beforeAutospacing="0" w:lineRule="auto"/>
              <w:ind w:left="1440" w:hanging="360"/>
            </w:pPr>
            <w:r w:rsidDel="00000000" w:rsidR="00000000" w:rsidRPr="00000000">
              <w:rPr>
                <w:rtl w:val="0"/>
              </w:rPr>
              <w:t xml:space="preserve">Hoe wordt ervoor gezorgd dat toekomstige bewoners van het project Argon niet geconfronteerd zullen worden met dezelfde problemen als bij eerdere projecten van deze bouwer? Zijn er specifieke garanties of waarborgregelingen getroffen?</w:t>
              <w:br w:type="textWrapping"/>
            </w:r>
          </w:p>
          <w:p w:rsidR="00000000" w:rsidDel="00000000" w:rsidP="00000000" w:rsidRDefault="00000000" w:rsidRPr="00000000" w14:paraId="0000002D">
            <w:pPr>
              <w:numPr>
                <w:ilvl w:val="0"/>
                <w:numId w:val="2"/>
              </w:numPr>
              <w:spacing w:after="0" w:afterAutospacing="0" w:before="0" w:beforeAutospacing="0" w:lineRule="auto"/>
              <w:ind w:left="720" w:hanging="360"/>
            </w:pPr>
            <w:r w:rsidDel="00000000" w:rsidR="00000000" w:rsidRPr="00000000">
              <w:rPr>
                <w:b w:val="1"/>
                <w:bCs w:val="1"/>
                <w:rtl w:val="0"/>
              </w:rPr>
              <w:t xml:space="preserve">Transparantie en verantwoording</w:t>
              <w:br w:type="textWrapping"/>
            </w:r>
          </w:p>
          <w:p w:rsidR="00000000" w:rsidDel="00000000" w:rsidP="00000000" w:rsidRDefault="00000000" w:rsidRPr="00000000" w14:paraId="0000002E">
            <w:pPr>
              <w:numPr>
                <w:ilvl w:val="1"/>
                <w:numId w:val="2"/>
              </w:numPr>
              <w:spacing w:after="0" w:afterAutospacing="0" w:before="0" w:beforeAutospacing="0" w:lineRule="auto"/>
              <w:ind w:left="1440" w:hanging="360"/>
            </w:pPr>
            <w:r w:rsidDel="00000000" w:rsidR="00000000" w:rsidRPr="00000000">
              <w:rPr>
                <w:rtl w:val="0"/>
              </w:rPr>
              <w:t xml:space="preserve">Op welke manier zal het college transparantie bieden over de voortgang en kwaliteit van het project? Zijn er momenten waarop de gemeenteraad en inwoners geïnformeerd zullen worden over de vorderingen?</w:t>
              <w:br w:type="textWrapping"/>
            </w:r>
          </w:p>
          <w:p w:rsidR="00000000" w:rsidDel="00000000" w:rsidP="00000000" w:rsidRDefault="00000000" w:rsidRPr="00000000" w14:paraId="0000002F">
            <w:pPr>
              <w:numPr>
                <w:ilvl w:val="0"/>
                <w:numId w:val="2"/>
              </w:numPr>
              <w:spacing w:after="0" w:afterAutospacing="0" w:before="0" w:beforeAutospacing="0" w:lineRule="auto"/>
              <w:ind w:left="720" w:hanging="360"/>
            </w:pPr>
            <w:r w:rsidDel="00000000" w:rsidR="00000000" w:rsidRPr="00000000">
              <w:rPr>
                <w:b w:val="1"/>
                <w:bCs w:val="1"/>
                <w:rtl w:val="0"/>
              </w:rPr>
              <w:t xml:space="preserve">Vertrouwen van inwoners</w:t>
              <w:br w:type="textWrapping"/>
            </w:r>
          </w:p>
          <w:p w:rsidR="00000000" w:rsidDel="00000000" w:rsidP="00000000" w:rsidRDefault="00000000" w:rsidRPr="00000000" w14:paraId="00000030">
            <w:pPr>
              <w:numPr>
                <w:ilvl w:val="1"/>
                <w:numId w:val="2"/>
              </w:numPr>
              <w:spacing w:after="0" w:afterAutospacing="0" w:before="0" w:beforeAutospacing="0" w:lineRule="auto"/>
              <w:ind w:left="1440" w:hanging="360"/>
            </w:pPr>
            <w:r w:rsidDel="00000000" w:rsidR="00000000" w:rsidRPr="00000000">
              <w:rPr>
                <w:rtl w:val="0"/>
              </w:rPr>
              <w:t xml:space="preserve">Hoe denkt het college het vertrouwen van inwoners in de gemeente en in woningbouwprojecten te herstellen, nu er opnieuw wordt samengewerkt met een bouwer die in het verleden voor problemen heeft gezorgd?</w:t>
              <w:br w:type="textWrapping"/>
            </w:r>
          </w:p>
          <w:p w:rsidR="00000000" w:rsidDel="00000000" w:rsidP="00000000" w:rsidRDefault="00000000" w:rsidRPr="00000000" w14:paraId="00000031">
            <w:pPr>
              <w:numPr>
                <w:ilvl w:val="0"/>
                <w:numId w:val="2"/>
              </w:numPr>
              <w:spacing w:after="0" w:afterAutospacing="0" w:before="0" w:beforeAutospacing="0" w:lineRule="auto"/>
              <w:ind w:left="720" w:hanging="360"/>
              <w:rPr>
                <w:b w:val="1"/>
                <w:bCs w:val="1"/>
                <w:u w:val="none"/>
              </w:rPr>
            </w:pPr>
            <w:r w:rsidDel="00000000" w:rsidR="00000000" w:rsidRPr="00000000">
              <w:rPr>
                <w:b w:val="1"/>
                <w:bCs w:val="1"/>
                <w:rtl w:val="0"/>
              </w:rPr>
              <w:t xml:space="preserve">Verbetering van het gunningsproces</w:t>
              <w:br w:type="textWrapping"/>
            </w:r>
          </w:p>
          <w:p w:rsidR="00000000" w:rsidDel="00000000" w:rsidP="00000000" w:rsidRDefault="00000000" w:rsidRPr="00000000" w14:paraId="00000032">
            <w:pPr>
              <w:numPr>
                <w:ilvl w:val="1"/>
                <w:numId w:val="2"/>
              </w:numPr>
              <w:spacing w:after="0" w:afterAutospacing="0" w:before="0" w:beforeAutospacing="0" w:lineRule="auto"/>
              <w:ind w:left="1440" w:hanging="360"/>
              <w:rPr>
                <w:u w:val="none"/>
              </w:rPr>
            </w:pPr>
            <w:r w:rsidDel="00000000" w:rsidR="00000000" w:rsidRPr="00000000">
              <w:rPr>
                <w:rtl w:val="0"/>
              </w:rPr>
              <w:t xml:space="preserve">Welke extra ondersteuning of aanpassingen in het gunningsproces zijn noodzakelijk om te voorkomen dat in de toekomst opnieuw bouwers met een problematische voorgeschiedenis worden geselecteerd? Denk hierbij aan het introduceren van strengere kwaliteitseisen, een onafhankelijke toetsingscommissie, of het verplicht meewegen van eerdere ervaringen met bouwers.</w:t>
              <w:br w:type="textWrapping"/>
            </w:r>
          </w:p>
          <w:p w:rsidR="00000000" w:rsidDel="00000000" w:rsidP="00000000" w:rsidRDefault="00000000" w:rsidRPr="00000000" w14:paraId="00000033">
            <w:pPr>
              <w:numPr>
                <w:ilvl w:val="1"/>
                <w:numId w:val="2"/>
              </w:numPr>
              <w:spacing w:after="240" w:before="0" w:beforeAutospacing="0" w:lineRule="auto"/>
              <w:ind w:left="1440" w:hanging="360"/>
              <w:rPr>
                <w:u w:val="none"/>
              </w:rPr>
            </w:pPr>
            <w:r w:rsidDel="00000000" w:rsidR="00000000" w:rsidRPr="00000000">
              <w:rPr>
                <w:rtl w:val="0"/>
              </w:rPr>
              <w:t xml:space="preserve">Kan de raad hierover een motie indienen om het college te verplichten tot het opstellen van strengere richtlijnen? Of is een aanpassing van de aanbesteding verordening noodzakelijk om dergelijke maatregelen structureel te verankeren?</w:t>
            </w:r>
          </w:p>
        </w:tc>
      </w:tr>
      <w:tr>
        <w:trPr>
          <w:cantSplit w:val="0"/>
          <w:tblHeader w:val="0"/>
        </w:trPr>
        <w:tc>
          <w:tcPr/>
          <w:p w:rsidR="00000000" w:rsidDel="00000000" w:rsidP="00000000" w:rsidRDefault="00000000" w:rsidRPr="00000000" w14:paraId="00000034">
            <w:pPr>
              <w:rPr>
                <w:b w:val="1"/>
                <w:bCs w:val="1"/>
                <w:color w:val="000000"/>
              </w:rPr>
            </w:pPr>
            <w:r w:rsidDel="00000000" w:rsidR="00000000" w:rsidRPr="00000000">
              <w:rPr>
                <w:rtl w:val="0"/>
              </w:rPr>
            </w:r>
          </w:p>
          <w:p w:rsidR="00000000" w:rsidDel="00000000" w:rsidP="00000000" w:rsidRDefault="00000000" w:rsidRPr="00000000" w14:paraId="00000035">
            <w:pPr>
              <w:rPr>
                <w:color w:val="000000"/>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tc>
      </w:tr>
    </w:tbl>
    <w:p w:rsidR="00000000" w:rsidDel="00000000" w:rsidP="00000000" w:rsidRDefault="00000000" w:rsidRPr="00000000" w14:paraId="00000038">
      <w:pPr>
        <w:rPr/>
      </w:pPr>
      <w:r w:rsidDel="00000000" w:rsidR="00000000" w:rsidRPr="00000000">
        <w:rPr>
          <w:rtl w:val="0"/>
        </w:rPr>
      </w:r>
    </w:p>
    <w:sectPr>
      <w:headerReference r:id="rId8"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4205604</wp:posOffset>
          </wp:positionH>
          <wp:positionV relativeFrom="paragraph">
            <wp:posOffset>-316228</wp:posOffset>
          </wp:positionV>
          <wp:extent cx="2286000" cy="914400"/>
          <wp:effectExtent b="0" l="0" r="0" t="0"/>
          <wp:wrapSquare wrapText="bothSides" distB="0" distT="0" distL="114300" distR="11430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286000" cy="9144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bCs w:val="1"/>
      <w:i w:val="0"/>
      <w:iCs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bCs w:val="1"/>
      <w:i w:val="0"/>
      <w:iCs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KGEbRkDOH9UB2UA+qIJXLFQfrw==">CgMxLjA4AHIhMUh0eUhVWWVURWY5YklISGRscm5pSVg3bUVxdndTRHhq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